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851"/>
        <w:gridCol w:w="285"/>
        <w:gridCol w:w="1277"/>
        <w:gridCol w:w="1002"/>
        <w:gridCol w:w="2839"/>
      </w:tblGrid>
      <w:tr w:rsidR="005422D4" w:rsidRPr="00C86963" w:rsidTr="00C86963">
        <w:trPr>
          <w:trHeight w:hRule="exact" w:val="1528"/>
        </w:trPr>
        <w:tc>
          <w:tcPr>
            <w:tcW w:w="143" w:type="dxa"/>
          </w:tcPr>
          <w:p w:rsidR="005422D4" w:rsidRDefault="005422D4"/>
        </w:tc>
        <w:tc>
          <w:tcPr>
            <w:tcW w:w="284" w:type="dxa"/>
          </w:tcPr>
          <w:p w:rsidR="005422D4" w:rsidRDefault="005422D4"/>
        </w:tc>
        <w:tc>
          <w:tcPr>
            <w:tcW w:w="721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851" w:type="dxa"/>
          </w:tcPr>
          <w:p w:rsidR="005422D4" w:rsidRDefault="005422D4"/>
        </w:tc>
        <w:tc>
          <w:tcPr>
            <w:tcW w:w="540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lang w:val="ru-RU"/>
              </w:rPr>
              <w:t xml:space="preserve">Приложение к ОПОП по направлению подготовки 38.04.04 Государственное и муниципальное управление (высшее образование - магистратура), Направленность (профиль) программы «Государственное регулирование экономики», утв. приказом ректора ОмГА от </w:t>
            </w:r>
            <w:r>
              <w:rPr>
                <w:rFonts w:ascii="Times New Roman" w:hAnsi="Times New Roman" w:cs="Times New Roman"/>
                <w:color w:val="000000"/>
                <w:lang w:val="ru-RU"/>
              </w:rPr>
              <w:t>29.03.2021 №57</w:t>
            </w:r>
            <w:r w:rsidRPr="00C86963">
              <w:rPr>
                <w:rFonts w:ascii="Times New Roman" w:hAnsi="Times New Roman" w:cs="Times New Roman"/>
                <w:color w:val="000000"/>
                <w:lang w:val="ru-RU"/>
              </w:rPr>
              <w:t>.</w:t>
            </w:r>
          </w:p>
        </w:tc>
      </w:tr>
      <w:tr w:rsidR="005422D4" w:rsidRPr="00C86963" w:rsidTr="00C86963">
        <w:trPr>
          <w:trHeight w:hRule="exact" w:val="138"/>
        </w:trPr>
        <w:tc>
          <w:tcPr>
            <w:tcW w:w="143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Tr="00C86963">
        <w:trPr>
          <w:trHeight w:hRule="exact" w:val="585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422D4" w:rsidRPr="00C86963" w:rsidTr="00C86963">
        <w:trPr>
          <w:trHeight w:hRule="exact" w:val="314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422D4" w:rsidRPr="00C86963" w:rsidTr="00C86963">
        <w:trPr>
          <w:trHeight w:hRule="exact" w:val="211"/>
        </w:trPr>
        <w:tc>
          <w:tcPr>
            <w:tcW w:w="143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Tr="00C86963">
        <w:trPr>
          <w:trHeight w:hRule="exact" w:val="277"/>
        </w:trPr>
        <w:tc>
          <w:tcPr>
            <w:tcW w:w="143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422D4" w:rsidTr="00C86963">
        <w:trPr>
          <w:trHeight w:hRule="exact" w:val="138"/>
        </w:trPr>
        <w:tc>
          <w:tcPr>
            <w:tcW w:w="143" w:type="dxa"/>
          </w:tcPr>
          <w:p w:rsidR="005422D4" w:rsidRDefault="005422D4"/>
        </w:tc>
        <w:tc>
          <w:tcPr>
            <w:tcW w:w="284" w:type="dxa"/>
          </w:tcPr>
          <w:p w:rsidR="005422D4" w:rsidRDefault="005422D4"/>
        </w:tc>
        <w:tc>
          <w:tcPr>
            <w:tcW w:w="721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851" w:type="dxa"/>
          </w:tcPr>
          <w:p w:rsidR="005422D4" w:rsidRDefault="005422D4"/>
        </w:tc>
        <w:tc>
          <w:tcPr>
            <w:tcW w:w="285" w:type="dxa"/>
          </w:tcPr>
          <w:p w:rsidR="005422D4" w:rsidRDefault="005422D4"/>
        </w:tc>
        <w:tc>
          <w:tcPr>
            <w:tcW w:w="1277" w:type="dxa"/>
          </w:tcPr>
          <w:p w:rsidR="005422D4" w:rsidRDefault="005422D4"/>
        </w:tc>
        <w:tc>
          <w:tcPr>
            <w:tcW w:w="1002" w:type="dxa"/>
          </w:tcPr>
          <w:p w:rsidR="005422D4" w:rsidRDefault="005422D4"/>
        </w:tc>
        <w:tc>
          <w:tcPr>
            <w:tcW w:w="2839" w:type="dxa"/>
          </w:tcPr>
          <w:p w:rsidR="005422D4" w:rsidRDefault="005422D4"/>
        </w:tc>
      </w:tr>
      <w:tr w:rsidR="005422D4" w:rsidRPr="00C86963" w:rsidTr="00C86963">
        <w:trPr>
          <w:trHeight w:hRule="exact" w:val="277"/>
        </w:trPr>
        <w:tc>
          <w:tcPr>
            <w:tcW w:w="143" w:type="dxa"/>
          </w:tcPr>
          <w:p w:rsidR="005422D4" w:rsidRDefault="005422D4"/>
        </w:tc>
        <w:tc>
          <w:tcPr>
            <w:tcW w:w="284" w:type="dxa"/>
          </w:tcPr>
          <w:p w:rsidR="005422D4" w:rsidRDefault="005422D4"/>
        </w:tc>
        <w:tc>
          <w:tcPr>
            <w:tcW w:w="721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851" w:type="dxa"/>
          </w:tcPr>
          <w:p w:rsidR="005422D4" w:rsidRDefault="005422D4"/>
        </w:tc>
        <w:tc>
          <w:tcPr>
            <w:tcW w:w="285" w:type="dxa"/>
          </w:tcPr>
          <w:p w:rsidR="005422D4" w:rsidRDefault="005422D4"/>
        </w:tc>
        <w:tc>
          <w:tcPr>
            <w:tcW w:w="1277" w:type="dxa"/>
          </w:tcPr>
          <w:p w:rsidR="005422D4" w:rsidRDefault="005422D4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422D4" w:rsidRPr="00C86963" w:rsidTr="00C86963">
        <w:trPr>
          <w:trHeight w:hRule="exact" w:val="138"/>
        </w:trPr>
        <w:tc>
          <w:tcPr>
            <w:tcW w:w="143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Tr="00C86963">
        <w:trPr>
          <w:trHeight w:hRule="exact" w:val="277"/>
        </w:trPr>
        <w:tc>
          <w:tcPr>
            <w:tcW w:w="143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5422D4" w:rsidTr="00C86963">
        <w:trPr>
          <w:trHeight w:hRule="exact" w:val="138"/>
        </w:trPr>
        <w:tc>
          <w:tcPr>
            <w:tcW w:w="143" w:type="dxa"/>
          </w:tcPr>
          <w:p w:rsidR="005422D4" w:rsidRDefault="005422D4"/>
        </w:tc>
        <w:tc>
          <w:tcPr>
            <w:tcW w:w="284" w:type="dxa"/>
          </w:tcPr>
          <w:p w:rsidR="005422D4" w:rsidRDefault="005422D4"/>
        </w:tc>
        <w:tc>
          <w:tcPr>
            <w:tcW w:w="721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1419" w:type="dxa"/>
          </w:tcPr>
          <w:p w:rsidR="005422D4" w:rsidRDefault="005422D4"/>
        </w:tc>
        <w:tc>
          <w:tcPr>
            <w:tcW w:w="851" w:type="dxa"/>
          </w:tcPr>
          <w:p w:rsidR="005422D4" w:rsidRDefault="005422D4"/>
        </w:tc>
        <w:tc>
          <w:tcPr>
            <w:tcW w:w="285" w:type="dxa"/>
          </w:tcPr>
          <w:p w:rsidR="005422D4" w:rsidRDefault="005422D4"/>
        </w:tc>
        <w:tc>
          <w:tcPr>
            <w:tcW w:w="1277" w:type="dxa"/>
          </w:tcPr>
          <w:p w:rsidR="005422D4" w:rsidRDefault="005422D4"/>
        </w:tc>
        <w:tc>
          <w:tcPr>
            <w:tcW w:w="1002" w:type="dxa"/>
          </w:tcPr>
          <w:p w:rsidR="005422D4" w:rsidRDefault="005422D4"/>
        </w:tc>
        <w:tc>
          <w:tcPr>
            <w:tcW w:w="2839" w:type="dxa"/>
          </w:tcPr>
          <w:p w:rsidR="005422D4" w:rsidRDefault="005422D4"/>
        </w:tc>
      </w:tr>
      <w:tr w:rsidR="00C86963" w:rsidTr="00C86963">
        <w:trPr>
          <w:trHeight w:hRule="exact" w:val="277"/>
        </w:trPr>
        <w:tc>
          <w:tcPr>
            <w:tcW w:w="143" w:type="dxa"/>
          </w:tcPr>
          <w:p w:rsidR="00C86963" w:rsidRDefault="00C86963"/>
        </w:tc>
        <w:tc>
          <w:tcPr>
            <w:tcW w:w="284" w:type="dxa"/>
          </w:tcPr>
          <w:p w:rsidR="00C86963" w:rsidRDefault="00C86963"/>
        </w:tc>
        <w:tc>
          <w:tcPr>
            <w:tcW w:w="721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851" w:type="dxa"/>
          </w:tcPr>
          <w:p w:rsidR="00C86963" w:rsidRDefault="00C86963"/>
        </w:tc>
        <w:tc>
          <w:tcPr>
            <w:tcW w:w="285" w:type="dxa"/>
          </w:tcPr>
          <w:p w:rsidR="00C86963" w:rsidRDefault="00C86963"/>
        </w:tc>
        <w:tc>
          <w:tcPr>
            <w:tcW w:w="1277" w:type="dxa"/>
          </w:tcPr>
          <w:p w:rsidR="00C86963" w:rsidRDefault="00C86963"/>
        </w:tc>
        <w:tc>
          <w:tcPr>
            <w:tcW w:w="3841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C86963" w:rsidRPr="000014AE" w:rsidRDefault="00C86963" w:rsidP="00E031DE">
            <w:pPr>
              <w:spacing w:after="0" w:line="240" w:lineRule="auto"/>
              <w:jc w:val="right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</w:t>
            </w:r>
            <w:r w:rsidRPr="000014AE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</w:tc>
      </w:tr>
      <w:tr w:rsidR="00C86963" w:rsidTr="00C86963">
        <w:trPr>
          <w:trHeight w:hRule="exact" w:val="277"/>
        </w:trPr>
        <w:tc>
          <w:tcPr>
            <w:tcW w:w="143" w:type="dxa"/>
          </w:tcPr>
          <w:p w:rsidR="00C86963" w:rsidRDefault="00C86963"/>
        </w:tc>
        <w:tc>
          <w:tcPr>
            <w:tcW w:w="284" w:type="dxa"/>
          </w:tcPr>
          <w:p w:rsidR="00C86963" w:rsidRDefault="00C86963"/>
        </w:tc>
        <w:tc>
          <w:tcPr>
            <w:tcW w:w="721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851" w:type="dxa"/>
          </w:tcPr>
          <w:p w:rsidR="00C86963" w:rsidRDefault="00C86963"/>
        </w:tc>
        <w:tc>
          <w:tcPr>
            <w:tcW w:w="285" w:type="dxa"/>
          </w:tcPr>
          <w:p w:rsidR="00C86963" w:rsidRDefault="00C86963"/>
        </w:tc>
        <w:tc>
          <w:tcPr>
            <w:tcW w:w="1277" w:type="dxa"/>
          </w:tcPr>
          <w:p w:rsidR="00C86963" w:rsidRDefault="00C86963"/>
        </w:tc>
        <w:tc>
          <w:tcPr>
            <w:tcW w:w="1002" w:type="dxa"/>
          </w:tcPr>
          <w:p w:rsidR="00C86963" w:rsidRDefault="00C86963"/>
        </w:tc>
        <w:tc>
          <w:tcPr>
            <w:tcW w:w="2839" w:type="dxa"/>
          </w:tcPr>
          <w:p w:rsidR="00C86963" w:rsidRDefault="00C86963"/>
        </w:tc>
      </w:tr>
      <w:tr w:rsidR="00C86963" w:rsidTr="00C86963">
        <w:trPr>
          <w:trHeight w:hRule="exact" w:val="416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C86963" w:rsidTr="00C86963">
        <w:trPr>
          <w:trHeight w:hRule="exact" w:val="1856"/>
        </w:trPr>
        <w:tc>
          <w:tcPr>
            <w:tcW w:w="143" w:type="dxa"/>
          </w:tcPr>
          <w:p w:rsidR="00C86963" w:rsidRDefault="00C86963"/>
        </w:tc>
        <w:tc>
          <w:tcPr>
            <w:tcW w:w="284" w:type="dxa"/>
          </w:tcPr>
          <w:p w:rsidR="00C86963" w:rsidRDefault="00C86963"/>
        </w:tc>
        <w:tc>
          <w:tcPr>
            <w:tcW w:w="721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6963" w:rsidRPr="00C86963" w:rsidRDefault="00C8696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Организация добровольческой (волонтерской) деятельности и взаимодействие с социально ориентированными НКО</w:t>
            </w:r>
          </w:p>
          <w:p w:rsidR="00C86963" w:rsidRDefault="00C86963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Б1.О.04</w:t>
            </w:r>
          </w:p>
        </w:tc>
        <w:tc>
          <w:tcPr>
            <w:tcW w:w="2839" w:type="dxa"/>
          </w:tcPr>
          <w:p w:rsidR="00C86963" w:rsidRDefault="00C86963"/>
        </w:tc>
      </w:tr>
      <w:tr w:rsidR="00C86963" w:rsidTr="00C86963">
        <w:trPr>
          <w:trHeight w:hRule="exact" w:val="277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магистратуры</w:t>
            </w:r>
          </w:p>
        </w:tc>
      </w:tr>
      <w:tr w:rsidR="00C86963" w:rsidRPr="00C86963" w:rsidTr="00C86963">
        <w:trPr>
          <w:trHeight w:hRule="exact" w:val="1389"/>
        </w:trPr>
        <w:tc>
          <w:tcPr>
            <w:tcW w:w="143" w:type="dxa"/>
          </w:tcPr>
          <w:p w:rsidR="00C86963" w:rsidRDefault="00C86963"/>
        </w:tc>
        <w:tc>
          <w:tcPr>
            <w:tcW w:w="284" w:type="dxa"/>
          </w:tcPr>
          <w:p w:rsidR="00C86963" w:rsidRDefault="00C86963"/>
        </w:tc>
        <w:tc>
          <w:tcPr>
            <w:tcW w:w="9813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38.04.04 Государственное и муниципальное управление (высшее образование - магистратура)</w:t>
            </w:r>
          </w:p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«Государственное регулирование экономики»</w:t>
            </w:r>
          </w:p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C86963" w:rsidRPr="00C86963" w:rsidTr="00C86963">
        <w:trPr>
          <w:trHeight w:hRule="exact" w:val="138"/>
        </w:trPr>
        <w:tc>
          <w:tcPr>
            <w:tcW w:w="143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</w:tr>
      <w:tr w:rsidR="00C86963" w:rsidRPr="00C86963" w:rsidTr="00C86963">
        <w:trPr>
          <w:trHeight w:hRule="exact" w:val="833"/>
        </w:trPr>
        <w:tc>
          <w:tcPr>
            <w:tcW w:w="10240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08. ФИНАНСЫ И ЭКОНОМИКА.</w:t>
            </w:r>
          </w:p>
        </w:tc>
      </w:tr>
      <w:tr w:rsidR="00C86963" w:rsidRPr="00C86963" w:rsidTr="00C86963">
        <w:trPr>
          <w:trHeight w:hRule="exact" w:val="416"/>
        </w:trPr>
        <w:tc>
          <w:tcPr>
            <w:tcW w:w="143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</w:tr>
      <w:tr w:rsidR="00C86963" w:rsidTr="00C86963">
        <w:trPr>
          <w:trHeight w:hRule="exact" w:val="277"/>
        </w:trPr>
        <w:tc>
          <w:tcPr>
            <w:tcW w:w="3986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851" w:type="dxa"/>
          </w:tcPr>
          <w:p w:rsidR="00C86963" w:rsidRDefault="00C86963"/>
        </w:tc>
        <w:tc>
          <w:tcPr>
            <w:tcW w:w="285" w:type="dxa"/>
          </w:tcPr>
          <w:p w:rsidR="00C86963" w:rsidRDefault="00C86963"/>
        </w:tc>
        <w:tc>
          <w:tcPr>
            <w:tcW w:w="1277" w:type="dxa"/>
          </w:tcPr>
          <w:p w:rsidR="00C86963" w:rsidRDefault="00C86963"/>
        </w:tc>
        <w:tc>
          <w:tcPr>
            <w:tcW w:w="1002" w:type="dxa"/>
          </w:tcPr>
          <w:p w:rsidR="00C86963" w:rsidRDefault="00C86963"/>
        </w:tc>
        <w:tc>
          <w:tcPr>
            <w:tcW w:w="2839" w:type="dxa"/>
          </w:tcPr>
          <w:p w:rsidR="00C86963" w:rsidRDefault="00C86963"/>
        </w:tc>
      </w:tr>
      <w:tr w:rsidR="00C86963" w:rsidTr="00C86963">
        <w:trPr>
          <w:trHeight w:hRule="exact" w:val="155"/>
        </w:trPr>
        <w:tc>
          <w:tcPr>
            <w:tcW w:w="143" w:type="dxa"/>
          </w:tcPr>
          <w:p w:rsidR="00C86963" w:rsidRDefault="00C86963"/>
        </w:tc>
        <w:tc>
          <w:tcPr>
            <w:tcW w:w="284" w:type="dxa"/>
          </w:tcPr>
          <w:p w:rsidR="00C86963" w:rsidRDefault="00C86963"/>
        </w:tc>
        <w:tc>
          <w:tcPr>
            <w:tcW w:w="721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851" w:type="dxa"/>
          </w:tcPr>
          <w:p w:rsidR="00C86963" w:rsidRDefault="00C86963"/>
        </w:tc>
        <w:tc>
          <w:tcPr>
            <w:tcW w:w="285" w:type="dxa"/>
          </w:tcPr>
          <w:p w:rsidR="00C86963" w:rsidRDefault="00C86963"/>
        </w:tc>
        <w:tc>
          <w:tcPr>
            <w:tcW w:w="1277" w:type="dxa"/>
          </w:tcPr>
          <w:p w:rsidR="00C86963" w:rsidRDefault="00C86963"/>
        </w:tc>
        <w:tc>
          <w:tcPr>
            <w:tcW w:w="1002" w:type="dxa"/>
          </w:tcPr>
          <w:p w:rsidR="00C86963" w:rsidRDefault="00C86963"/>
        </w:tc>
        <w:tc>
          <w:tcPr>
            <w:tcW w:w="2839" w:type="dxa"/>
          </w:tcPr>
          <w:p w:rsidR="00C86963" w:rsidRDefault="00C86963"/>
        </w:tc>
      </w:tr>
      <w:tr w:rsidR="00C86963" w:rsidTr="00C869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</w:t>
            </w:r>
          </w:p>
        </w:tc>
        <w:tc>
          <w:tcPr>
            <w:tcW w:w="9092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ФИНАНСЫ И ЭКОНОМИКА</w:t>
            </w:r>
          </w:p>
        </w:tc>
      </w:tr>
      <w:tr w:rsidR="00C86963" w:rsidTr="00C86963">
        <w:trPr>
          <w:trHeight w:hRule="exact" w:val="304"/>
        </w:trPr>
        <w:tc>
          <w:tcPr>
            <w:tcW w:w="1148" w:type="dxa"/>
            <w:gridSpan w:val="3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08.026</w:t>
            </w:r>
          </w:p>
        </w:tc>
        <w:tc>
          <w:tcPr>
            <w:tcW w:w="9092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СФЕРЕ ЗАКУПОК</w:t>
            </w:r>
          </w:p>
        </w:tc>
      </w:tr>
      <w:tr w:rsidR="00C86963" w:rsidTr="00C86963">
        <w:trPr>
          <w:trHeight w:hRule="exact" w:val="9"/>
        </w:trPr>
        <w:tc>
          <w:tcPr>
            <w:tcW w:w="1148" w:type="dxa"/>
            <w:gridSpan w:val="3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C86963" w:rsidRDefault="00C86963"/>
        </w:tc>
        <w:tc>
          <w:tcPr>
            <w:tcW w:w="9092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/>
        </w:tc>
      </w:tr>
      <w:tr w:rsidR="00C86963" w:rsidTr="00C86963">
        <w:trPr>
          <w:trHeight w:hRule="exact" w:val="124"/>
        </w:trPr>
        <w:tc>
          <w:tcPr>
            <w:tcW w:w="143" w:type="dxa"/>
          </w:tcPr>
          <w:p w:rsidR="00C86963" w:rsidRDefault="00C86963"/>
        </w:tc>
        <w:tc>
          <w:tcPr>
            <w:tcW w:w="284" w:type="dxa"/>
          </w:tcPr>
          <w:p w:rsidR="00C86963" w:rsidRDefault="00C86963"/>
        </w:tc>
        <w:tc>
          <w:tcPr>
            <w:tcW w:w="721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1419" w:type="dxa"/>
          </w:tcPr>
          <w:p w:rsidR="00C86963" w:rsidRDefault="00C86963"/>
        </w:tc>
        <w:tc>
          <w:tcPr>
            <w:tcW w:w="851" w:type="dxa"/>
          </w:tcPr>
          <w:p w:rsidR="00C86963" w:rsidRDefault="00C86963"/>
        </w:tc>
        <w:tc>
          <w:tcPr>
            <w:tcW w:w="285" w:type="dxa"/>
          </w:tcPr>
          <w:p w:rsidR="00C86963" w:rsidRDefault="00C86963"/>
        </w:tc>
        <w:tc>
          <w:tcPr>
            <w:tcW w:w="1277" w:type="dxa"/>
          </w:tcPr>
          <w:p w:rsidR="00C86963" w:rsidRDefault="00C86963"/>
        </w:tc>
        <w:tc>
          <w:tcPr>
            <w:tcW w:w="1002" w:type="dxa"/>
          </w:tcPr>
          <w:p w:rsidR="00C86963" w:rsidRDefault="00C86963"/>
        </w:tc>
        <w:tc>
          <w:tcPr>
            <w:tcW w:w="2839" w:type="dxa"/>
          </w:tcPr>
          <w:p w:rsidR="00C86963" w:rsidRDefault="00C86963"/>
        </w:tc>
      </w:tr>
      <w:tr w:rsidR="00C86963" w:rsidRPr="00C86963" w:rsidTr="00C86963">
        <w:trPr>
          <w:trHeight w:hRule="exact" w:val="277"/>
        </w:trPr>
        <w:tc>
          <w:tcPr>
            <w:tcW w:w="5122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963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организационно-управленческий, административно-технологический, контрольно-надзорный, научно- исследовательский</w:t>
            </w:r>
          </w:p>
        </w:tc>
      </w:tr>
      <w:tr w:rsidR="00C86963" w:rsidRPr="00C86963" w:rsidTr="00C86963">
        <w:trPr>
          <w:trHeight w:hRule="exact" w:val="848"/>
        </w:trPr>
        <w:tc>
          <w:tcPr>
            <w:tcW w:w="143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963" w:rsidRPr="00C86963" w:rsidRDefault="00C86963">
            <w:pPr>
              <w:rPr>
                <w:lang w:val="ru-RU"/>
              </w:rPr>
            </w:pPr>
          </w:p>
        </w:tc>
      </w:tr>
      <w:tr w:rsidR="00C86963" w:rsidRPr="00C86963" w:rsidTr="00C86963">
        <w:trPr>
          <w:trHeight w:hRule="exact" w:val="1091"/>
        </w:trPr>
        <w:tc>
          <w:tcPr>
            <w:tcW w:w="143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4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72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851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5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002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2839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</w:tr>
      <w:tr w:rsidR="00C86963" w:rsidTr="00C86963">
        <w:trPr>
          <w:trHeight w:hRule="exact" w:val="277"/>
        </w:trPr>
        <w:tc>
          <w:tcPr>
            <w:tcW w:w="143" w:type="dxa"/>
          </w:tcPr>
          <w:p w:rsidR="00C86963" w:rsidRPr="00C86963" w:rsidRDefault="00C86963">
            <w:pPr>
              <w:rPr>
                <w:lang w:val="ru-RU"/>
              </w:rPr>
            </w:pPr>
          </w:p>
        </w:tc>
        <w:tc>
          <w:tcPr>
            <w:tcW w:w="10097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C86963" w:rsidTr="00C86963">
        <w:trPr>
          <w:trHeight w:hRule="exact" w:val="138"/>
        </w:trPr>
        <w:tc>
          <w:tcPr>
            <w:tcW w:w="143" w:type="dxa"/>
          </w:tcPr>
          <w:p w:rsidR="00C86963" w:rsidRDefault="00C86963"/>
        </w:tc>
        <w:tc>
          <w:tcPr>
            <w:tcW w:w="10097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C86963" w:rsidRDefault="00C86963"/>
        </w:tc>
      </w:tr>
      <w:tr w:rsidR="00C86963" w:rsidTr="00C86963">
        <w:trPr>
          <w:trHeight w:hRule="exact" w:val="1666"/>
        </w:trPr>
        <w:tc>
          <w:tcPr>
            <w:tcW w:w="143" w:type="dxa"/>
          </w:tcPr>
          <w:p w:rsidR="00C86963" w:rsidRDefault="00C86963"/>
        </w:tc>
        <w:tc>
          <w:tcPr>
            <w:tcW w:w="10097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</w:t>
            </w:r>
          </w:p>
          <w:p w:rsidR="00C86963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C86963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422D4" w:rsidRDefault="00C8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422D4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422D4" w:rsidRPr="00C86963" w:rsidRDefault="0054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к.пед.н., доцент _________________ /Котлярова Т.С./</w:t>
            </w:r>
          </w:p>
          <w:p w:rsidR="005422D4" w:rsidRPr="00C86963" w:rsidRDefault="0054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26.03.2021 г.  №8</w:t>
            </w:r>
          </w:p>
        </w:tc>
      </w:tr>
      <w:tr w:rsidR="005422D4" w:rsidRPr="00C8696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доцент, д.п.н. _________________ /Лопанова Е.В./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422D4">
        <w:trPr>
          <w:trHeight w:hRule="exact" w:val="555"/>
        </w:trPr>
        <w:tc>
          <w:tcPr>
            <w:tcW w:w="9640" w:type="dxa"/>
          </w:tcPr>
          <w:p w:rsidR="005422D4" w:rsidRDefault="005422D4"/>
        </w:tc>
      </w:tr>
      <w:tr w:rsidR="005422D4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422D4" w:rsidRDefault="00C8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 w:rsidRPr="00C8696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422D4" w:rsidRPr="00C86963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(далее - ФГОС ВО, Федеральный государственный образовательный стандарт высшего образования);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C86963" w:rsidRPr="00905462" w:rsidRDefault="00C86963" w:rsidP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Положение о практической подготовке обучающихся»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 w:rsidRPr="00905462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одобренным на заседании Ученого совета от 28.09.2020 (протокол заседания № 2), Студенческого совета ОмГА от 28.09.2020 (протокол заседания № 2)</w:t>
            </w:r>
            <w:r w:rsidRPr="0090546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- учебным планом по основной профессиональной образовательной программе высшего образования - магистратура по направлению подготовки 38.04.04 Государственное и муниципальное управление направленность (профиль) программы: «Государственное регулирование экономики»; форма обучения – очная 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учебный год, утвержденным приказом ректора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29.03.2021 №57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«Организация добровольческой (волонтерской) деятельности и взаимодействие с социально ориентированными НКО»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2021/2022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учебного года: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управление; очная форма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 w:rsidRPr="00C869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  <w:tr w:rsidR="005422D4" w:rsidRPr="00C86963">
        <w:trPr>
          <w:trHeight w:hRule="exact" w:val="138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16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Б1.О.04 «Организация добровольческой (волонтерской) деятельности и взаимодействие с социально ориентированными НКО».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422D4" w:rsidRPr="00C86963">
        <w:trPr>
          <w:trHeight w:hRule="exact" w:val="138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управление, утвержденного Приказом Министерства образования и науки РФ от 13.08.2020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1000 «Об утверждении федерального государственного образовательного стандарта высшего образования - магистратура по направлению подготовки 38.04.04 Государственное и муниципальное управление» при разработке основной профессиональной образовательной программы (далее - ОПОП) магистратуры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«Организация добровольческой (волонтерской) деятельности и взаимодействие с социально ориентированными НКО»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422D4" w:rsidRPr="00C86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УК-3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организовывать и руководить работой команды, вырабатывая командную стратегию для достижения поставленной цели</w:t>
            </w:r>
          </w:p>
        </w:tc>
      </w:tr>
      <w:tr w:rsidR="0054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422D4" w:rsidRPr="00C8696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УК-3.1 знать методы управления и организации командной работы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УК-3.2 знать основы стратегического планирования работы коллектива для достижения поставленной цели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УК-3.3 вырабатывать стратегию сотрудничества и на ее основе организует отбор членов команды для достижения поставленной цели</w:t>
            </w:r>
          </w:p>
        </w:tc>
      </w:tr>
      <w:tr w:rsidR="005422D4" w:rsidRPr="00C8696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УК-3.4 планировать и корректировать работу команды с учетом интересов, особенностей поведения и мнений  ее членов, планировать командную работу,  распределять поручения и делегировать полномочия членам команды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УК-3.5 владеть навыками разрешения конфликта и противоречия при деловом общении на основе учета интересов всех сторон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УК-3.6 владеть навыками организации дискуссии по заданной теме и обсуждение результатов работы команды с привлечением оппонентов разработанным идеям</w:t>
            </w:r>
          </w:p>
        </w:tc>
      </w:tr>
      <w:tr w:rsidR="005422D4" w:rsidRPr="00C86963">
        <w:trPr>
          <w:trHeight w:hRule="exact" w:val="416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422D4" w:rsidRPr="00C869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Б1.О.04 «Организация добровольческой (волонтерской) деятельности и взаимодействие с социально ориентированными НКО» относится к обязательной части, является дисциплиной Блока Б1. «Дисциплины (модули)».  основной профессиональной образовательной программы высшего образования - магистратура по направлению подготовки 38.04.04 Государственное и муниципальное управление.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5422D4" w:rsidRPr="00C86963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422D4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5422D4"/>
        </w:tc>
      </w:tr>
      <w:tr w:rsidR="005422D4" w:rsidRPr="00C8696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>
        <w:trPr>
          <w:trHeight w:hRule="exact" w:val="1558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Pr="00C86963" w:rsidRDefault="00C86963">
            <w:pPr>
              <w:spacing w:after="0" w:line="240" w:lineRule="auto"/>
              <w:jc w:val="center"/>
              <w:rPr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lang w:val="ru-RU"/>
              </w:rPr>
              <w:t>Государственные и муниципальные финансы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lang w:val="ru-RU"/>
              </w:rPr>
              <w:t>Нормативно-правовая база сферы государственно-частного партнерства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lang w:val="ru-RU"/>
              </w:rPr>
              <w:t>Планирование и организация проекта государственно-частного партнерства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Pr="00C86963" w:rsidRDefault="005422D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22D4" w:rsidRPr="00C86963" w:rsidRDefault="005422D4">
            <w:pPr>
              <w:spacing w:after="0" w:line="240" w:lineRule="auto"/>
              <w:jc w:val="center"/>
              <w:rPr>
                <w:lang w:val="ru-RU"/>
              </w:rPr>
            </w:pPr>
          </w:p>
          <w:p w:rsidR="005422D4" w:rsidRDefault="00C8696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(аналитическая практика)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УК-3</w:t>
            </w:r>
          </w:p>
        </w:tc>
      </w:tr>
      <w:tr w:rsidR="005422D4">
        <w:trPr>
          <w:trHeight w:hRule="exact" w:val="138"/>
        </w:trPr>
        <w:tc>
          <w:tcPr>
            <w:tcW w:w="3970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426" w:type="dxa"/>
          </w:tcPr>
          <w:p w:rsidR="005422D4" w:rsidRDefault="005422D4"/>
        </w:tc>
        <w:tc>
          <w:tcPr>
            <w:tcW w:w="710" w:type="dxa"/>
          </w:tcPr>
          <w:p w:rsidR="005422D4" w:rsidRDefault="005422D4"/>
        </w:tc>
        <w:tc>
          <w:tcPr>
            <w:tcW w:w="143" w:type="dxa"/>
          </w:tcPr>
          <w:p w:rsidR="005422D4" w:rsidRDefault="005422D4"/>
        </w:tc>
        <w:tc>
          <w:tcPr>
            <w:tcW w:w="993" w:type="dxa"/>
          </w:tcPr>
          <w:p w:rsidR="005422D4" w:rsidRDefault="005422D4"/>
        </w:tc>
      </w:tr>
      <w:tr w:rsidR="005422D4" w:rsidRPr="00C86963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422D4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1 зачетных единиц – 36 академических часов</w:t>
            </w:r>
          </w:p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422D4">
        <w:trPr>
          <w:trHeight w:hRule="exact" w:val="138"/>
        </w:trPr>
        <w:tc>
          <w:tcPr>
            <w:tcW w:w="3970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426" w:type="dxa"/>
          </w:tcPr>
          <w:p w:rsidR="005422D4" w:rsidRDefault="005422D4"/>
        </w:tc>
        <w:tc>
          <w:tcPr>
            <w:tcW w:w="710" w:type="dxa"/>
          </w:tcPr>
          <w:p w:rsidR="005422D4" w:rsidRDefault="005422D4"/>
        </w:tc>
        <w:tc>
          <w:tcPr>
            <w:tcW w:w="143" w:type="dxa"/>
          </w:tcPr>
          <w:p w:rsidR="005422D4" w:rsidRDefault="005422D4"/>
        </w:tc>
        <w:tc>
          <w:tcPr>
            <w:tcW w:w="993" w:type="dxa"/>
          </w:tcPr>
          <w:p w:rsidR="005422D4" w:rsidRDefault="005422D4"/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422D4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2</w:t>
            </w:r>
          </w:p>
        </w:tc>
      </w:tr>
      <w:tr w:rsidR="005422D4">
        <w:trPr>
          <w:trHeight w:hRule="exact" w:val="138"/>
        </w:trPr>
        <w:tc>
          <w:tcPr>
            <w:tcW w:w="3970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426" w:type="dxa"/>
          </w:tcPr>
          <w:p w:rsidR="005422D4" w:rsidRDefault="005422D4"/>
        </w:tc>
        <w:tc>
          <w:tcPr>
            <w:tcW w:w="710" w:type="dxa"/>
          </w:tcPr>
          <w:p w:rsidR="005422D4" w:rsidRDefault="005422D4"/>
        </w:tc>
        <w:tc>
          <w:tcPr>
            <w:tcW w:w="143" w:type="dxa"/>
          </w:tcPr>
          <w:p w:rsidR="005422D4" w:rsidRDefault="005422D4"/>
        </w:tc>
        <w:tc>
          <w:tcPr>
            <w:tcW w:w="993" w:type="dxa"/>
          </w:tcPr>
          <w:p w:rsidR="005422D4" w:rsidRDefault="005422D4"/>
        </w:tc>
      </w:tr>
      <w:tr w:rsidR="005422D4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422D4" w:rsidRPr="00C86963" w:rsidRDefault="005422D4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422D4">
        <w:trPr>
          <w:trHeight w:hRule="exact" w:val="416"/>
        </w:trPr>
        <w:tc>
          <w:tcPr>
            <w:tcW w:w="3970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1702" w:type="dxa"/>
          </w:tcPr>
          <w:p w:rsidR="005422D4" w:rsidRDefault="005422D4"/>
        </w:tc>
        <w:tc>
          <w:tcPr>
            <w:tcW w:w="426" w:type="dxa"/>
          </w:tcPr>
          <w:p w:rsidR="005422D4" w:rsidRDefault="005422D4"/>
        </w:tc>
        <w:tc>
          <w:tcPr>
            <w:tcW w:w="710" w:type="dxa"/>
          </w:tcPr>
          <w:p w:rsidR="005422D4" w:rsidRDefault="005422D4"/>
        </w:tc>
        <w:tc>
          <w:tcPr>
            <w:tcW w:w="143" w:type="dxa"/>
          </w:tcPr>
          <w:p w:rsidR="005422D4" w:rsidRDefault="005422D4"/>
        </w:tc>
        <w:tc>
          <w:tcPr>
            <w:tcW w:w="993" w:type="dxa"/>
          </w:tcPr>
          <w:p w:rsidR="005422D4" w:rsidRDefault="005422D4"/>
        </w:tc>
      </w:tr>
      <w:tr w:rsidR="00542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422D4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2D4" w:rsidRDefault="0054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2D4" w:rsidRDefault="0054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2D4" w:rsidRDefault="005422D4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422D4" w:rsidRDefault="005422D4"/>
        </w:tc>
      </w:tr>
      <w:tr w:rsidR="005422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2D4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2D4">
        <w:trPr>
          <w:trHeight w:hRule="exact" w:val="112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2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2D4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деятельности.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422D4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5422D4" w:rsidRDefault="00C8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5422D4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422D4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5422D4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422D4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54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5422D4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422D4">
        <w:trPr>
          <w:trHeight w:hRule="exact" w:val="1368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422D4" w:rsidRDefault="00C86963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Академии, принятому на основании</w:t>
            </w:r>
          </w:p>
        </w:tc>
      </w:tr>
    </w:tbl>
    <w:p w:rsidR="005422D4" w:rsidRDefault="00C8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 w:rsidRPr="00C86963">
        <w:trPr>
          <w:trHeight w:hRule="exact" w:val="42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заявления обуча-ющегося).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54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4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422D4" w:rsidRPr="00C86963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личностно-го роста и обществен-ного развития</w:t>
            </w:r>
          </w:p>
        </w:tc>
      </w:tr>
      <w:tr w:rsidR="005422D4" w:rsidRPr="00C86963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добровольчества (волонтерства), добровольческой (волонтерской) организации, организатора добровольческой (волонтерской) деятельности. Взаимосвязь добровольчества(волонтерства) с существенными и позитивными изменениями в личности человека. Государственная политика в области развития добровольчества (волонтерства). Возможности добровольчества (волонтерства) в решении вопросов местного значения, социально-экономическом развитии регионов и достижении целей национального развития.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</w:t>
            </w:r>
          </w:p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(волонтерской) деятельности</w:t>
            </w:r>
          </w:p>
        </w:tc>
      </w:tr>
      <w:tr w:rsidR="005422D4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Цели и задачи добровольческой (волонтерской) деятельности. Формы и виды добровольческой (волонтерской) деятельности: разнообразие и взаимное влияние. Историческое наследие и направления добровольчества. Развитие волонтерства в различных сферах жизнедеятельности. Циклы развития волонтерской деятельности. Волонтерский менеджмент. Программы саморазвития личности в аспекте добровольчества.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Социальное проектирование. Благотворительность.</w:t>
            </w:r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</w:t>
            </w:r>
          </w:p>
        </w:tc>
      </w:tr>
      <w:tr w:rsidR="005422D4" w:rsidRPr="00C86963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Организация работы с волонтерами: рекрутинг, повышение узнаваемости проектов, работа со СМИ, обучение, оценка эффективности волонтерской деятельности. Границы ответственности добровольцев (волонтёров), организаторов добровольческой (волонтерской) деятельности и добровольческих (волонтерских) организаций. Мотивация волонтеров. Проблема и профилактика эмоционального выгорания. Сравнительный анализ мотивации стихийных волонтеров, эпизодических волонтеров и волонтеров долгосрочных проектов. Диагностика мотивации волонтеров. Показано, что волонтерская деятельность выступает как условие и фактор формирования  социально значимых личностных свойств человека. Определены основные потребности молодежи, реализуемые в рамках волонтерской деятельности: потребность человека быть нужным другому человеку, потребность в общении, потребность в творчестве, потребность в саморазвитии и построении карьеры, потребность в приобретении социального опыта, потребность в подтверждении самостоятельности и взрослости.</w:t>
            </w:r>
          </w:p>
        </w:tc>
      </w:tr>
      <w:tr w:rsidR="005422D4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</w:t>
            </w:r>
          </w:p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организациями.</w:t>
            </w:r>
          </w:p>
        </w:tc>
      </w:tr>
      <w:tr w:rsidR="005422D4" w:rsidRPr="00C86963">
        <w:trPr>
          <w:trHeight w:hRule="exact" w:val="110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Инновации в добровольчестве (волонтерстве) и деятельности социально ориентированных НКО. Формы, механизмы и порядки взаимодействия с федеральными органами власти, органами власти субъектов Российской Федерации, органами местного самоуправления, подведомственными им государственными и муниципальными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учреждениями, иными организациями (по направлениям волонтерской деятельности). Взаимодействия с социально ориентированными НКО, органами власти и подведомственными им организациями: причины провалов и лучшие практики.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Управление рисками в работе с волонтерами и волонтерскими организациями.</w:t>
            </w:r>
          </w:p>
        </w:tc>
      </w:tr>
      <w:tr w:rsidR="005422D4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422D4">
        <w:trPr>
          <w:trHeight w:hRule="exact" w:val="14"/>
        </w:trPr>
        <w:tc>
          <w:tcPr>
            <w:tcW w:w="9640" w:type="dxa"/>
          </w:tcPr>
          <w:p w:rsidR="005422D4" w:rsidRDefault="005422D4"/>
        </w:tc>
      </w:tr>
      <w:tr w:rsidR="0054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1. Волонтёрство как ресурс личностного роста и общественного</w:t>
            </w:r>
          </w:p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развития</w:t>
            </w:r>
          </w:p>
        </w:tc>
      </w:tr>
      <w:tr w:rsidR="005422D4" w:rsidRPr="00C86963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ходе обучения студенты активизируют личностные ресурсы, способствующие саморазвитию и самореализации, повышению уровня толерантности и личностной креативности как адаптационного ресурса и условия эффективной волонтерской деятельности, рефлексии, повышению устойчивости к эмоциональному выгоранию и профессиональной деформации.</w:t>
            </w:r>
          </w:p>
        </w:tc>
      </w:tr>
      <w:tr w:rsidR="005422D4" w:rsidRPr="00C86963">
        <w:trPr>
          <w:trHeight w:hRule="exact" w:val="14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2. Многообразие форм добровольческой (волонтерской)</w:t>
            </w:r>
          </w:p>
          <w:p w:rsidR="005422D4" w:rsidRDefault="00C8696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деятельности.</w:t>
            </w:r>
          </w:p>
        </w:tc>
      </w:tr>
      <w:tr w:rsidR="005422D4" w:rsidRPr="00C8696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Виды, типы и цели добровольчества (волонтерства): разнообразие и взаимное влияние. Механизмы и технологии добровольческой деятельности. Волонтерский менеджмент. Программы саморазвития личности в аспекте добровольчества.</w:t>
            </w:r>
          </w:p>
        </w:tc>
      </w:tr>
      <w:tr w:rsidR="005422D4" w:rsidRPr="00C86963">
        <w:trPr>
          <w:trHeight w:hRule="exact" w:val="14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3. Организация работы с волонтерами.</w:t>
            </w:r>
          </w:p>
        </w:tc>
      </w:tr>
      <w:tr w:rsidR="005422D4" w:rsidRPr="00C86963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Обучение позволит освоить современные психологические технологии диагностики потенциальных волонтеров, с целью профессионального отбора; повышения уровня коммуникативной компетентности, развития профессиональной наблюдательности, анализа различных аспектов синдрома эмоционального выгорания. Обучающиеся будут способны разрабатывать стратегию работы с волонтерскими группами и организациями на основе критического осмысления выбранных и созданных теорий, концепций, подходов и (или) технологий.</w:t>
            </w:r>
          </w:p>
        </w:tc>
      </w:tr>
      <w:tr w:rsidR="005422D4" w:rsidRPr="00C86963">
        <w:trPr>
          <w:trHeight w:hRule="exact" w:val="14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4. Взаимодействие с социально ориентированными НКО, инициативными группами, органами власти и иными организациями.</w:t>
            </w:r>
          </w:p>
        </w:tc>
      </w:tr>
      <w:tr w:rsidR="005422D4" w:rsidRPr="00C86963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результате обучения обучающиеся получат представление о знания о способах построения конструктивного общения (взаимодействия) с представителями органами власти и различных социальных групп; приобретают способность демонстрировать коммуникационные умения в контексте социального партнерства.</w:t>
            </w:r>
          </w:p>
        </w:tc>
      </w:tr>
      <w:tr w:rsidR="005422D4" w:rsidRPr="00C869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422D4" w:rsidRPr="00C86963">
        <w:trPr>
          <w:trHeight w:hRule="exact" w:val="51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«Организация добровольческой (волонтерской) деятельности и взаимодействие с социально ориентированными НКО» / Котлярова Т.С.. – Омск: Изд-во Омской гуманитарной академии, 2021.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422D4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7. Перечень основной и дополнительной учебной литературы, необходимой для освоения дисциплины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422D4" w:rsidRPr="00C8696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Управление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волонтерством: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международный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опыт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локальные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практики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Певная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Зборовский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2020.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433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978-5-534-10984-9.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hyperlink r:id="rId4" w:history="1">
              <w:r w:rsidR="00870D80">
                <w:rPr>
                  <w:rStyle w:val="a3"/>
                  <w:lang w:val="ru-RU"/>
                </w:rPr>
                <w:t>https://urait.ru/bcode/454782</w:t>
              </w:r>
            </w:hyperlink>
            <w:r w:rsidRPr="00C86963">
              <w:rPr>
                <w:lang w:val="ru-RU"/>
              </w:rPr>
              <w:t xml:space="preserve"> </w:t>
            </w:r>
          </w:p>
        </w:tc>
      </w:tr>
      <w:tr w:rsidR="005422D4" w:rsidRPr="00C86963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Наумов,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Гаврилова,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Токаева,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Э.,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Мифтахова,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добро.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Пермь: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Пермский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гуманитарно-педагогический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2011.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200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hyperlink r:id="rId5" w:history="1">
              <w:r w:rsidR="00870D80">
                <w:rPr>
                  <w:rStyle w:val="a3"/>
                  <w:lang w:val="ru-RU"/>
                </w:rPr>
                <w:t>http://www.iprbookshop.ru/32218.html</w:t>
              </w:r>
            </w:hyperlink>
            <w:r w:rsidRPr="00C86963">
              <w:rPr>
                <w:lang w:val="ru-RU"/>
              </w:rPr>
              <w:t xml:space="preserve"> </w:t>
            </w:r>
          </w:p>
        </w:tc>
      </w:tr>
      <w:tr w:rsidR="005422D4">
        <w:trPr>
          <w:trHeight w:hRule="exact" w:val="277"/>
        </w:trPr>
        <w:tc>
          <w:tcPr>
            <w:tcW w:w="285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422D4" w:rsidRPr="00C86963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организации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волонтерского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движения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Митрофаненко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Ставрополь: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Северо-Кавказский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федеральный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2015.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130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hyperlink r:id="rId6" w:history="1">
              <w:r w:rsidR="00870D80">
                <w:rPr>
                  <w:rStyle w:val="a3"/>
                  <w:lang w:val="ru-RU"/>
                </w:rPr>
                <w:t>http://www.iprbookshop.ru/63025.html</w:t>
              </w:r>
            </w:hyperlink>
            <w:r w:rsidRPr="00C86963">
              <w:rPr>
                <w:lang w:val="ru-RU"/>
              </w:rPr>
              <w:t xml:space="preserve"> </w:t>
            </w:r>
          </w:p>
        </w:tc>
      </w:tr>
      <w:tr w:rsidR="005422D4" w:rsidRPr="00C86963">
        <w:trPr>
          <w:trHeight w:hRule="exact" w:val="799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Социально-культурное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творчество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участников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молодежных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объединений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формировании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института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волонтерства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Васильковская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Пономарёв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Д..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Кемерово: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Кемеровский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институт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культуры,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192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978-5-8154-0361-1.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hyperlink r:id="rId7" w:history="1">
              <w:r w:rsidR="00870D80">
                <w:rPr>
                  <w:rStyle w:val="a3"/>
                  <w:lang w:val="ru-RU"/>
                </w:rPr>
                <w:t>http://www.iprbookshop.ru/66366.html</w:t>
              </w:r>
            </w:hyperlink>
            <w:r w:rsidRPr="00C86963">
              <w:rPr>
                <w:lang w:val="ru-RU"/>
              </w:rPr>
              <w:t xml:space="preserve"> </w:t>
            </w:r>
          </w:p>
        </w:tc>
      </w:tr>
      <w:tr w:rsidR="005422D4" w:rsidRPr="00C86963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Правовое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регулирование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волонтерской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Тимец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Всероссийский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юстиции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(РПА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Минюста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России),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Эр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128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978-5-00094-344-1.</w:t>
            </w:r>
            <w:r w:rsidRPr="00C86963">
              <w:rPr>
                <w:lang w:val="ru-RU"/>
              </w:rPr>
              <w:t xml:space="preserve"> 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C8696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C86963">
              <w:rPr>
                <w:lang w:val="ru-RU"/>
              </w:rPr>
              <w:t xml:space="preserve"> </w:t>
            </w:r>
            <w:hyperlink r:id="rId8" w:history="1">
              <w:r w:rsidR="00870D80">
                <w:rPr>
                  <w:rStyle w:val="a3"/>
                  <w:lang w:val="ru-RU"/>
                </w:rPr>
                <w:t>http://www.iprbookshop.ru/68907.html</w:t>
              </w:r>
            </w:hyperlink>
            <w:r w:rsidRPr="00C86963">
              <w:rPr>
                <w:lang w:val="ru-RU"/>
              </w:rPr>
              <w:t xml:space="preserve"> 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422D4" w:rsidRPr="00C86963">
        <w:trPr>
          <w:trHeight w:hRule="exact" w:val="832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7B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 w:rsidRPr="00C86963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422D4" w:rsidRPr="00C86963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422D4">
        <w:trPr>
          <w:trHeight w:hRule="exact" w:val="134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422D4" w:rsidRDefault="00C8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Дополнительно к изучению конспектов лекций</w:t>
            </w:r>
          </w:p>
        </w:tc>
      </w:tr>
    </w:tbl>
    <w:p w:rsidR="005422D4" w:rsidRDefault="00C8696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 w:rsidRPr="00C86963">
        <w:trPr>
          <w:trHeight w:hRule="exact" w:val="37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необходимо пользоваться учебниками по учебной дисциплине.</w:t>
            </w:r>
          </w:p>
        </w:tc>
      </w:tr>
      <w:tr w:rsidR="005422D4" w:rsidRPr="00C8696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422D4" w:rsidRPr="00C8696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422D4" w:rsidRPr="00C86963" w:rsidRDefault="00542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422D4" w:rsidRDefault="00C8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422D4" w:rsidRDefault="00C8696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422D4" w:rsidRPr="00C86963" w:rsidRDefault="005422D4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422D4" w:rsidRPr="00C8696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2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3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422D4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4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5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6" w:history="1">
              <w:r w:rsidR="00870D80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27" w:history="1">
              <w:r w:rsidR="007B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5422D4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Default="00C8696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422D4" w:rsidRPr="00C8696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магистратуры;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422D4" w:rsidRPr="00C86963">
        <w:trPr>
          <w:trHeight w:hRule="exact" w:val="277"/>
        </w:trPr>
        <w:tc>
          <w:tcPr>
            <w:tcW w:w="9640" w:type="dxa"/>
          </w:tcPr>
          <w:p w:rsidR="005422D4" w:rsidRPr="00C86963" w:rsidRDefault="005422D4">
            <w:pPr>
              <w:rPr>
                <w:lang w:val="ru-RU"/>
              </w:rPr>
            </w:pPr>
          </w:p>
        </w:tc>
      </w:tr>
      <w:tr w:rsidR="005422D4" w:rsidRPr="00C86963">
        <w:trPr>
          <w:trHeight w:hRule="exact" w:val="2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</w:t>
            </w:r>
          </w:p>
        </w:tc>
      </w:tr>
    </w:tbl>
    <w:p w:rsidR="005422D4" w:rsidRPr="00C86963" w:rsidRDefault="00C86963">
      <w:pPr>
        <w:rPr>
          <w:sz w:val="0"/>
          <w:szCs w:val="0"/>
          <w:lang w:val="ru-RU"/>
        </w:rPr>
      </w:pPr>
      <w:r w:rsidRPr="00C8696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422D4" w:rsidRPr="00C8696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осуществления образовательного процесса по дисциплине</w:t>
            </w:r>
          </w:p>
        </w:tc>
      </w:tr>
      <w:tr w:rsidR="005422D4" w:rsidRPr="00C86963">
        <w:trPr>
          <w:trHeight w:hRule="exact" w:val="140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8" w:history="1">
              <w:r w:rsidR="007B373E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422D4" w:rsidRPr="00C86963" w:rsidRDefault="00C8696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C8696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5422D4" w:rsidRPr="00C86963" w:rsidRDefault="005422D4">
      <w:pPr>
        <w:rPr>
          <w:lang w:val="ru-RU"/>
        </w:rPr>
      </w:pPr>
    </w:p>
    <w:sectPr w:rsidR="005422D4" w:rsidRPr="00C86963" w:rsidSect="005422D4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2E1824"/>
    <w:rsid w:val="005422D4"/>
    <w:rsid w:val="007B373E"/>
    <w:rsid w:val="00870D80"/>
    <w:rsid w:val="00C86963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972F95D-EE05-437C-9F07-4C4FD2958F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422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373E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70D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68907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president.kremlin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66366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ict.edu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iprbookshop.ru/63025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fgosvo.ru" TargetMode="External"/><Relationship Id="rId5" Type="http://schemas.openxmlformats.org/officeDocument/2006/relationships/hyperlink" Target="http://www.iprbookshop.ru/32218.html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hyperlink" Target="http://www.biblio-online.ru" TargetMode="Externa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54782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www.consultant.ru/edu/student/study/" TargetMode="External"/><Relationship Id="rId27" Type="http://schemas.openxmlformats.org/officeDocument/2006/relationships/hyperlink" Target="http://www.government.ru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13</Pages>
  <Words>6048</Words>
  <Characters>34474</Characters>
  <Application>Microsoft Office Word</Application>
  <DocSecurity>0</DocSecurity>
  <Lines>287</Lines>
  <Paragraphs>80</Paragraphs>
  <ScaleCrop>false</ScaleCrop>
  <Company/>
  <LinksUpToDate>false</LinksUpToDate>
  <CharactersWithSpaces>40442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2020-2021_ФГОС3++2020_Маг-ОФО-ГМУ(ГРЭ)(20)_plx_Организация добровольческой (волонтерской) деятельности и взаимодействие с социально ориентированными НКО</dc:title>
  <dc:creator>FastReport.NET</dc:creator>
  <cp:lastModifiedBy>Mark Bernstorf</cp:lastModifiedBy>
  <cp:revision>5</cp:revision>
  <dcterms:created xsi:type="dcterms:W3CDTF">2021-09-01T02:10:00Z</dcterms:created>
  <dcterms:modified xsi:type="dcterms:W3CDTF">2022-11-13T22:03:00Z</dcterms:modified>
</cp:coreProperties>
</file>